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D78C" w14:textId="5215BAEE" w:rsidR="00707F5C" w:rsidRDefault="00707F5C" w:rsidP="00707F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DE3CED" wp14:editId="2426AB18">
            <wp:extent cx="2552700" cy="1593850"/>
            <wp:effectExtent l="0" t="0" r="0" b="6350"/>
            <wp:docPr id="21174478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478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DED2B" w14:textId="77777777" w:rsidR="00707F5C" w:rsidRDefault="00707F5C" w:rsidP="00707F5C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Magnifico Rettore</w:t>
      </w:r>
    </w:p>
    <w:p w14:paraId="39603FD2" w14:textId="77777777" w:rsidR="00707F5C" w:rsidRDefault="00707F5C" w:rsidP="00707F5C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Stefano Bronzini</w:t>
      </w:r>
    </w:p>
    <w:p w14:paraId="3C7D33C8" w14:textId="77777777" w:rsidR="00707F5C" w:rsidRDefault="00707F5C" w:rsidP="00707F5C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  <w:sz w:val="24"/>
          <w:szCs w:val="24"/>
        </w:rPr>
      </w:pPr>
    </w:p>
    <w:p w14:paraId="2A3846FD" w14:textId="77777777" w:rsidR="00707F5C" w:rsidRDefault="00707F5C" w:rsidP="00707F5C">
      <w:pPr>
        <w:pStyle w:val="NormaleWeb"/>
        <w:spacing w:before="0" w:beforeAutospacing="0" w:after="0" w:afterAutospacing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Direttore Generale </w:t>
      </w:r>
    </w:p>
    <w:p w14:paraId="7418A97A" w14:textId="61DA2E05" w:rsidR="00707F5C" w:rsidRDefault="00707F5C" w:rsidP="00707F5C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Avv. Gaetano Prudente</w:t>
      </w:r>
    </w:p>
    <w:p w14:paraId="2ED428E9" w14:textId="77777777" w:rsidR="00707F5C" w:rsidRDefault="00707F5C">
      <w:pPr>
        <w:rPr>
          <w:rFonts w:ascii="Times New Roman" w:hAnsi="Times New Roman" w:cs="Times New Roman"/>
        </w:rPr>
      </w:pPr>
    </w:p>
    <w:p w14:paraId="6613CBE2" w14:textId="0D462994" w:rsidR="004A137A" w:rsidRPr="00AF4904" w:rsidRDefault="004A137A">
      <w:pPr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>Genti</w:t>
      </w:r>
      <w:r w:rsidR="00707F5C">
        <w:rPr>
          <w:rFonts w:ascii="Times New Roman" w:hAnsi="Times New Roman" w:cs="Times New Roman"/>
        </w:rPr>
        <w:t>lissimi</w:t>
      </w:r>
      <w:r w:rsidRPr="00AF4904">
        <w:rPr>
          <w:rFonts w:ascii="Times New Roman" w:hAnsi="Times New Roman" w:cs="Times New Roman"/>
        </w:rPr>
        <w:t>,</w:t>
      </w:r>
    </w:p>
    <w:p w14:paraId="28F90C75" w14:textId="5A5D9A1A" w:rsidR="004A137A" w:rsidRPr="00AF4904" w:rsidRDefault="004A137A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 xml:space="preserve">come è noto, </w:t>
      </w:r>
      <w:bookmarkStart w:id="0" w:name="_Hlk157187195"/>
      <w:r w:rsidRPr="00AF4904">
        <w:rPr>
          <w:rFonts w:ascii="Times New Roman" w:hAnsi="Times New Roman" w:cs="Times New Roman"/>
        </w:rPr>
        <w:t xml:space="preserve">l’art. 1, comma 28, della L. n. 213/2023 </w:t>
      </w:r>
      <w:bookmarkEnd w:id="0"/>
      <w:r w:rsidRPr="00AF4904">
        <w:rPr>
          <w:rFonts w:ascii="Times New Roman" w:hAnsi="Times New Roman" w:cs="Times New Roman"/>
        </w:rPr>
        <w:t xml:space="preserve">(Finanziaria anno 2024), dispone che “…, </w:t>
      </w:r>
      <w:r w:rsidRPr="00AF4904">
        <w:rPr>
          <w:rFonts w:ascii="Times New Roman" w:hAnsi="Times New Roman" w:cs="Times New Roman"/>
          <w:b/>
          <w:bCs/>
          <w:i/>
          <w:iCs/>
        </w:rPr>
        <w:t>a decorrere dal 1° gennaio 2024, l'emolumento di cui all'articolo 1, comma 609, secondo periodo, della legge 30 dicembre 2021, n. 234, è incrementato di un importo pari a 6,7 volte il suo valore annuale</w:t>
      </w:r>
      <w:r w:rsidR="0003733A" w:rsidRPr="00AF4904">
        <w:rPr>
          <w:rFonts w:ascii="Times New Roman" w:hAnsi="Times New Roman" w:cs="Times New Roman"/>
        </w:rPr>
        <w:t xml:space="preserve">”. Trattasi di un emolumento, di carattere fisso e ricorrente, che costituisce una anticipazione dei miglioramenti economici </w:t>
      </w:r>
      <w:r w:rsidR="00EC1F92" w:rsidRPr="00AF4904">
        <w:rPr>
          <w:rFonts w:ascii="Times New Roman" w:hAnsi="Times New Roman" w:cs="Times New Roman"/>
        </w:rPr>
        <w:t xml:space="preserve">stipendiali </w:t>
      </w:r>
      <w:r w:rsidR="0003733A" w:rsidRPr="00AF4904">
        <w:rPr>
          <w:rFonts w:ascii="Times New Roman" w:hAnsi="Times New Roman" w:cs="Times New Roman"/>
        </w:rPr>
        <w:t xml:space="preserve">che deriveranno dal rinnovo contrattuale 2022-2024, che il Legislatore ha inteso garantire – con carattere imperativo – anche ai dipendenti contrattualizzati delle istituzioni ed enti pubblici diversi dall’amministrazione statale. </w:t>
      </w:r>
      <w:r w:rsidR="00707F5C" w:rsidRPr="00AF4904">
        <w:rPr>
          <w:rFonts w:ascii="Times New Roman" w:hAnsi="Times New Roman" w:cs="Times New Roman"/>
        </w:rPr>
        <w:t>È</w:t>
      </w:r>
      <w:r w:rsidR="0003733A" w:rsidRPr="00AF4904">
        <w:rPr>
          <w:rFonts w:ascii="Times New Roman" w:hAnsi="Times New Roman" w:cs="Times New Roman"/>
        </w:rPr>
        <w:t xml:space="preserve"> appena il caso di rammentare, infatti, che detto medesimo emolumento era già stato anticipato, al mese di dicembre 2023, “</w:t>
      </w:r>
      <w:r w:rsidR="0003733A" w:rsidRPr="00AF4904">
        <w:rPr>
          <w:rFonts w:ascii="Times New Roman" w:hAnsi="Times New Roman" w:cs="Times New Roman"/>
          <w:i/>
          <w:iCs/>
        </w:rPr>
        <w:t>per il personale con contratto di lavoro a tempo indeterminato dipendente dalle amministrazioni statali</w:t>
      </w:r>
      <w:r w:rsidR="0003733A" w:rsidRPr="00AF4904">
        <w:rPr>
          <w:rFonts w:ascii="Times New Roman" w:hAnsi="Times New Roman" w:cs="Times New Roman"/>
        </w:rPr>
        <w:t xml:space="preserve">”, ai sensi dell’art. 3, comma 1, del D.L. n. 145/2023, convertito con modificazioni in L. n. </w:t>
      </w:r>
      <w:r w:rsidR="00EC1F92" w:rsidRPr="00AF4904">
        <w:rPr>
          <w:rFonts w:ascii="Times New Roman" w:hAnsi="Times New Roman" w:cs="Times New Roman"/>
        </w:rPr>
        <w:t>191/2023.</w:t>
      </w:r>
    </w:p>
    <w:p w14:paraId="483D6BF3" w14:textId="6856CDC8" w:rsidR="007006C0" w:rsidRPr="00AF4904" w:rsidRDefault="007006C0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  <w:b/>
          <w:bCs/>
        </w:rPr>
        <w:t>A parere della O.S. scrivente, detto emolumento non può e non deve riassorbire</w:t>
      </w:r>
      <w:r w:rsidRPr="00AF4904">
        <w:rPr>
          <w:rFonts w:ascii="Times New Roman" w:hAnsi="Times New Roman" w:cs="Times New Roman"/>
        </w:rPr>
        <w:t xml:space="preserve"> (o ricomprendere, se si vuole) </w:t>
      </w:r>
      <w:r w:rsidRPr="00AF4904">
        <w:rPr>
          <w:rFonts w:ascii="Times New Roman" w:hAnsi="Times New Roman" w:cs="Times New Roman"/>
          <w:b/>
          <w:bCs/>
        </w:rPr>
        <w:t>l’indennità di vacanza contrattuale</w:t>
      </w:r>
      <w:r w:rsidR="000F42E0" w:rsidRPr="00AF4904">
        <w:rPr>
          <w:rFonts w:ascii="Times New Roman" w:hAnsi="Times New Roman" w:cs="Times New Roman"/>
          <w:b/>
          <w:bCs/>
        </w:rPr>
        <w:t xml:space="preserve"> (IVC)</w:t>
      </w:r>
      <w:r w:rsidRPr="00AF4904">
        <w:rPr>
          <w:rFonts w:ascii="Times New Roman" w:hAnsi="Times New Roman" w:cs="Times New Roman"/>
        </w:rPr>
        <w:t xml:space="preserve">, come, invece, accaduto nella nostra Università. Tanto, si è reso evidente con il cedolino del corrente mese, ove la </w:t>
      </w:r>
      <w:r w:rsidRPr="00AF4904">
        <w:rPr>
          <w:rFonts w:ascii="Times New Roman" w:hAnsi="Times New Roman" w:cs="Times New Roman"/>
          <w:i/>
          <w:iCs/>
        </w:rPr>
        <w:t>voce</w:t>
      </w:r>
      <w:r w:rsidRPr="00AF4904">
        <w:rPr>
          <w:rFonts w:ascii="Times New Roman" w:hAnsi="Times New Roman" w:cs="Times New Roman"/>
        </w:rPr>
        <w:t xml:space="preserve"> 00265 (IVC) risulta maggiorata di 6,7 volte, così riassorbendo ed inglobando la corrispondente voce (ed il relativo importo) assicurato fino al mese di dicembre 2023.</w:t>
      </w:r>
    </w:p>
    <w:p w14:paraId="47E59446" w14:textId="601EB60B" w:rsidR="007006C0" w:rsidRPr="00AF4904" w:rsidRDefault="00707F5C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>È</w:t>
      </w:r>
      <w:r w:rsidR="007006C0" w:rsidRPr="00AF4904">
        <w:rPr>
          <w:rFonts w:ascii="Times New Roman" w:hAnsi="Times New Roman" w:cs="Times New Roman"/>
        </w:rPr>
        <w:t xml:space="preserve"> necessario evidenziare</w:t>
      </w:r>
      <w:r w:rsidR="0042763B" w:rsidRPr="00AF4904">
        <w:rPr>
          <w:rFonts w:ascii="Times New Roman" w:hAnsi="Times New Roman" w:cs="Times New Roman"/>
        </w:rPr>
        <w:t>, al riguardo,</w:t>
      </w:r>
      <w:r w:rsidR="007006C0" w:rsidRPr="00AF4904">
        <w:rPr>
          <w:rFonts w:ascii="Times New Roman" w:hAnsi="Times New Roman" w:cs="Times New Roman"/>
        </w:rPr>
        <w:t xml:space="preserve"> come </w:t>
      </w:r>
      <w:r w:rsidR="007006C0" w:rsidRPr="00AF4904">
        <w:rPr>
          <w:rFonts w:ascii="Times New Roman" w:hAnsi="Times New Roman" w:cs="Times New Roman"/>
          <w:b/>
          <w:bCs/>
        </w:rPr>
        <w:t>l’IVC</w:t>
      </w:r>
      <w:r w:rsidR="007006C0" w:rsidRPr="00AF4904">
        <w:rPr>
          <w:rFonts w:ascii="Times New Roman" w:hAnsi="Times New Roman" w:cs="Times New Roman"/>
        </w:rPr>
        <w:t xml:space="preserve"> trovi fondamento nell’art. 47 bis, comma 2, del D. Lgs. n. 165/2001 (che ne rimanda la misura e le modalità ai contratti </w:t>
      </w:r>
      <w:r w:rsidR="0042763B" w:rsidRPr="00AF4904">
        <w:rPr>
          <w:rFonts w:ascii="Times New Roman" w:hAnsi="Times New Roman" w:cs="Times New Roman"/>
        </w:rPr>
        <w:t xml:space="preserve">collettivi nazionali) e </w:t>
      </w:r>
      <w:r w:rsidR="0042763B" w:rsidRPr="00AF4904">
        <w:rPr>
          <w:rFonts w:ascii="Times New Roman" w:hAnsi="Times New Roman" w:cs="Times New Roman"/>
          <w:b/>
          <w:bCs/>
        </w:rPr>
        <w:t>goda di un finanziamento “proprio”</w:t>
      </w:r>
      <w:r w:rsidR="0042763B" w:rsidRPr="00AF4904">
        <w:rPr>
          <w:rFonts w:ascii="Times New Roman" w:hAnsi="Times New Roman" w:cs="Times New Roman"/>
        </w:rPr>
        <w:t xml:space="preserve">, come statuito, da ultimo, dall’art. 1, comma 609, della L. n. 234/2021 (Finanziaria </w:t>
      </w:r>
      <w:r w:rsidR="00056FC3" w:rsidRPr="00AF4904">
        <w:rPr>
          <w:rFonts w:ascii="Times New Roman" w:hAnsi="Times New Roman" w:cs="Times New Roman"/>
        </w:rPr>
        <w:t xml:space="preserve">anno </w:t>
      </w:r>
      <w:r w:rsidR="0042763B" w:rsidRPr="00AF4904">
        <w:rPr>
          <w:rFonts w:ascii="Times New Roman" w:hAnsi="Times New Roman" w:cs="Times New Roman"/>
        </w:rPr>
        <w:t xml:space="preserve">2022), nella misura di </w:t>
      </w:r>
      <w:r w:rsidR="0042763B" w:rsidRPr="00AF4904">
        <w:rPr>
          <w:rFonts w:ascii="Times New Roman" w:hAnsi="Times New Roman" w:cs="Times New Roman"/>
          <w:i/>
          <w:iCs/>
        </w:rPr>
        <w:t>“…310 milioni di euro per l'anno 2022</w:t>
      </w:r>
      <w:r w:rsidR="0042763B" w:rsidRPr="00AF4904">
        <w:rPr>
          <w:rFonts w:ascii="Times New Roman" w:hAnsi="Times New Roman" w:cs="Times New Roman"/>
        </w:rPr>
        <w:t>” e di “</w:t>
      </w:r>
      <w:r w:rsidR="0042763B" w:rsidRPr="00AF4904">
        <w:rPr>
          <w:rFonts w:ascii="Times New Roman" w:hAnsi="Times New Roman" w:cs="Times New Roman"/>
          <w:i/>
          <w:iCs/>
          <w:u w:val="single"/>
        </w:rPr>
        <w:t>500 milioni di euro</w:t>
      </w:r>
      <w:r w:rsidR="0042763B" w:rsidRPr="00AF4904">
        <w:rPr>
          <w:rFonts w:ascii="Times New Roman" w:hAnsi="Times New Roman" w:cs="Times New Roman"/>
          <w:i/>
          <w:iCs/>
        </w:rPr>
        <w:t xml:space="preserve"> annui </w:t>
      </w:r>
      <w:r w:rsidR="0042763B" w:rsidRPr="00AF4904">
        <w:rPr>
          <w:rFonts w:ascii="Times New Roman" w:hAnsi="Times New Roman" w:cs="Times New Roman"/>
          <w:i/>
          <w:iCs/>
          <w:u w:val="single"/>
        </w:rPr>
        <w:t>a decorrere</w:t>
      </w:r>
      <w:r w:rsidR="0042763B" w:rsidRPr="00AF4904">
        <w:rPr>
          <w:rFonts w:ascii="Times New Roman" w:hAnsi="Times New Roman" w:cs="Times New Roman"/>
          <w:i/>
          <w:iCs/>
        </w:rPr>
        <w:t xml:space="preserve"> dall'anno 2023</w:t>
      </w:r>
      <w:r w:rsidR="0042763B" w:rsidRPr="00AF4904">
        <w:rPr>
          <w:rFonts w:ascii="Times New Roman" w:hAnsi="Times New Roman" w:cs="Times New Roman"/>
        </w:rPr>
        <w:t>”.</w:t>
      </w:r>
      <w:r w:rsidR="005D64FE" w:rsidRPr="00AF4904">
        <w:rPr>
          <w:rFonts w:ascii="Times New Roman" w:hAnsi="Times New Roman" w:cs="Times New Roman"/>
        </w:rPr>
        <w:t xml:space="preserve"> Risorse, queste ultime, che continuano</w:t>
      </w:r>
      <w:r w:rsidR="00056FC3" w:rsidRPr="00AF4904">
        <w:rPr>
          <w:rFonts w:ascii="Times New Roman" w:hAnsi="Times New Roman" w:cs="Times New Roman"/>
        </w:rPr>
        <w:t>, pertanto,</w:t>
      </w:r>
      <w:r w:rsidR="005D64FE" w:rsidRPr="00AF4904">
        <w:rPr>
          <w:rFonts w:ascii="Times New Roman" w:hAnsi="Times New Roman" w:cs="Times New Roman"/>
        </w:rPr>
        <w:t xml:space="preserve"> ad essere annualmente erogate dallo Stato a favore delle </w:t>
      </w:r>
      <w:r w:rsidR="005D64FE" w:rsidRPr="00AF4904">
        <w:rPr>
          <w:rFonts w:ascii="Times New Roman" w:hAnsi="Times New Roman" w:cs="Times New Roman"/>
          <w:i/>
          <w:iCs/>
        </w:rPr>
        <w:t>proprie</w:t>
      </w:r>
      <w:r w:rsidR="005D64FE" w:rsidRPr="00AF4904">
        <w:rPr>
          <w:rFonts w:ascii="Times New Roman" w:hAnsi="Times New Roman" w:cs="Times New Roman"/>
        </w:rPr>
        <w:t xml:space="preserve"> Amministrazioni e che le altre amministrazioni (quelle non statali) devono continuare ad erogare a valere (come è ben noto) sui rispettivi bilanci.</w:t>
      </w:r>
    </w:p>
    <w:p w14:paraId="654398E4" w14:textId="0C313FD5" w:rsidR="00056FC3" w:rsidRPr="00AF4904" w:rsidRDefault="00056FC3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>Il discusso emolumento</w:t>
      </w:r>
      <w:r w:rsidR="000F42E0" w:rsidRPr="00AF4904">
        <w:rPr>
          <w:rFonts w:ascii="Times New Roman" w:hAnsi="Times New Roman" w:cs="Times New Roman"/>
        </w:rPr>
        <w:t xml:space="preserve"> “aggiuntivo”</w:t>
      </w:r>
      <w:r w:rsidRPr="00AF4904">
        <w:rPr>
          <w:rFonts w:ascii="Times New Roman" w:hAnsi="Times New Roman" w:cs="Times New Roman"/>
        </w:rPr>
        <w:t xml:space="preserve">, invece, trova fondamento nel succitato art. 1, comma 28, della L. n. 213/2023, ha natura eccezionale (diversamente dall’IVC, la cui natura si potrebbe definire ordinaria) e </w:t>
      </w:r>
      <w:r w:rsidRPr="00AF4904">
        <w:rPr>
          <w:rFonts w:ascii="Times New Roman" w:hAnsi="Times New Roman" w:cs="Times New Roman"/>
          <w:b/>
          <w:bCs/>
        </w:rPr>
        <w:t>gode di un distinto finanziamento</w:t>
      </w:r>
      <w:r w:rsidRPr="00AF4904">
        <w:rPr>
          <w:rFonts w:ascii="Times New Roman" w:hAnsi="Times New Roman" w:cs="Times New Roman"/>
        </w:rPr>
        <w:t xml:space="preserve"> </w:t>
      </w:r>
      <w:r w:rsidRPr="00AF4904">
        <w:rPr>
          <w:rFonts w:ascii="Times New Roman" w:hAnsi="Times New Roman" w:cs="Times New Roman"/>
          <w:b/>
          <w:bCs/>
        </w:rPr>
        <w:t>costituto da risorse</w:t>
      </w:r>
      <w:r w:rsidR="000F42E0" w:rsidRPr="00AF4904">
        <w:rPr>
          <w:rFonts w:ascii="Times New Roman" w:hAnsi="Times New Roman" w:cs="Times New Roman"/>
          <w:b/>
          <w:bCs/>
        </w:rPr>
        <w:t>, appunto,</w:t>
      </w:r>
      <w:r w:rsidRPr="00AF4904">
        <w:rPr>
          <w:rFonts w:ascii="Times New Roman" w:hAnsi="Times New Roman" w:cs="Times New Roman"/>
          <w:b/>
          <w:bCs/>
        </w:rPr>
        <w:t xml:space="preserve"> aggiuntive</w:t>
      </w:r>
      <w:r w:rsidRPr="00AF4904">
        <w:rPr>
          <w:rFonts w:ascii="Times New Roman" w:hAnsi="Times New Roman" w:cs="Times New Roman"/>
        </w:rPr>
        <w:t xml:space="preserve"> (che </w:t>
      </w:r>
      <w:r w:rsidR="000858DB" w:rsidRPr="00AF4904">
        <w:rPr>
          <w:rFonts w:ascii="Times New Roman" w:hAnsi="Times New Roman" w:cs="Times New Roman"/>
        </w:rPr>
        <w:t>vanno, cioè,</w:t>
      </w:r>
      <w:r w:rsidRPr="00AF4904">
        <w:rPr>
          <w:rFonts w:ascii="Times New Roman" w:hAnsi="Times New Roman" w:cs="Times New Roman"/>
        </w:rPr>
        <w:t xml:space="preserve"> a sommarsi </w:t>
      </w:r>
      <w:r w:rsidR="000858DB" w:rsidRPr="00AF4904">
        <w:rPr>
          <w:rFonts w:ascii="Times New Roman" w:hAnsi="Times New Roman" w:cs="Times New Roman"/>
        </w:rPr>
        <w:t>ai 500 ml annui di cui sopra)</w:t>
      </w:r>
      <w:r w:rsidRPr="00AF4904">
        <w:rPr>
          <w:rFonts w:ascii="Times New Roman" w:hAnsi="Times New Roman" w:cs="Times New Roman"/>
        </w:rPr>
        <w:t xml:space="preserve"> derivanti dal c. 27 del </w:t>
      </w:r>
      <w:r w:rsidR="000858DB" w:rsidRPr="00AF4904">
        <w:rPr>
          <w:rFonts w:ascii="Times New Roman" w:hAnsi="Times New Roman" w:cs="Times New Roman"/>
        </w:rPr>
        <w:t>medesimo</w:t>
      </w:r>
      <w:r w:rsidRPr="00AF4904">
        <w:rPr>
          <w:rFonts w:ascii="Times New Roman" w:hAnsi="Times New Roman" w:cs="Times New Roman"/>
        </w:rPr>
        <w:t xml:space="preserve"> art. 1</w:t>
      </w:r>
      <w:r w:rsidR="000858DB" w:rsidRPr="00AF4904">
        <w:rPr>
          <w:rFonts w:ascii="Times New Roman" w:hAnsi="Times New Roman" w:cs="Times New Roman"/>
        </w:rPr>
        <w:t xml:space="preserve"> e che, </w:t>
      </w:r>
      <w:r w:rsidR="000858DB" w:rsidRPr="00AF4904">
        <w:rPr>
          <w:rFonts w:ascii="Times New Roman" w:hAnsi="Times New Roman" w:cs="Times New Roman"/>
        </w:rPr>
        <w:lastRenderedPageBreak/>
        <w:t>anche in tale ultima fattispecie, le amministrazioni non statali (quindi, anche le Università) devono erogare a valere sui rispettivi bilanci.</w:t>
      </w:r>
    </w:p>
    <w:p w14:paraId="1BC26C99" w14:textId="5EAC465B" w:rsidR="000858DB" w:rsidRPr="00AF4904" w:rsidRDefault="000858DB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>In altre parole, fermo restando il valore individuale mensile della IVC</w:t>
      </w:r>
      <w:r w:rsidR="000F42E0" w:rsidRPr="00AF4904">
        <w:rPr>
          <w:rFonts w:ascii="Times New Roman" w:hAnsi="Times New Roman" w:cs="Times New Roman"/>
        </w:rPr>
        <w:t xml:space="preserve"> (ai sensi dell’articolo 1, comma 609 della legge 30 dicembre 2021, n. 234)</w:t>
      </w:r>
      <w:r w:rsidRPr="00AF4904">
        <w:rPr>
          <w:rFonts w:ascii="Times New Roman" w:hAnsi="Times New Roman" w:cs="Times New Roman"/>
        </w:rPr>
        <w:t xml:space="preserve"> che ciascun lavoratore deve continuare a percepire, lo stesso deve essere beneficiario di un ulteriore e distinto valore individuale mensile pari a 6,7 volte l’importo della indennità di vacanza contrattuale, che il Legislatore ha inteso meramente assumere quale base </w:t>
      </w:r>
      <w:r w:rsidR="0054419B" w:rsidRPr="00AF4904">
        <w:rPr>
          <w:rFonts w:ascii="Times New Roman" w:hAnsi="Times New Roman" w:cs="Times New Roman"/>
        </w:rPr>
        <w:t xml:space="preserve">(o metodologia) </w:t>
      </w:r>
      <w:r w:rsidRPr="00AF4904">
        <w:rPr>
          <w:rFonts w:ascii="Times New Roman" w:hAnsi="Times New Roman" w:cs="Times New Roman"/>
        </w:rPr>
        <w:t xml:space="preserve">di calcolo </w:t>
      </w:r>
      <w:r w:rsidR="0054419B" w:rsidRPr="00AF4904">
        <w:rPr>
          <w:rFonts w:ascii="Times New Roman" w:hAnsi="Times New Roman" w:cs="Times New Roman"/>
        </w:rPr>
        <w:t xml:space="preserve">nel corpo del </w:t>
      </w:r>
      <w:proofErr w:type="gramStart"/>
      <w:r w:rsidR="0054419B" w:rsidRPr="00AF4904">
        <w:rPr>
          <w:rFonts w:ascii="Times New Roman" w:hAnsi="Times New Roman" w:cs="Times New Roman"/>
        </w:rPr>
        <w:t>predetto</w:t>
      </w:r>
      <w:proofErr w:type="gramEnd"/>
      <w:r w:rsidR="0054419B" w:rsidRPr="00AF4904">
        <w:rPr>
          <w:rFonts w:ascii="Times New Roman" w:hAnsi="Times New Roman" w:cs="Times New Roman"/>
        </w:rPr>
        <w:t xml:space="preserve"> comma 28. Diversamente argomentando, l’IVC finirebbe con lo </w:t>
      </w:r>
      <w:r w:rsidR="0054419B" w:rsidRPr="00AF4904">
        <w:rPr>
          <w:rFonts w:ascii="Times New Roman" w:hAnsi="Times New Roman" w:cs="Times New Roman"/>
          <w:b/>
          <w:bCs/>
        </w:rPr>
        <w:t>scomparire</w:t>
      </w:r>
      <w:r w:rsidR="0054419B" w:rsidRPr="00AF4904">
        <w:rPr>
          <w:rFonts w:ascii="Times New Roman" w:hAnsi="Times New Roman" w:cs="Times New Roman"/>
        </w:rPr>
        <w:t xml:space="preserve"> nell’importo aggiuntivo con il quale si è inteso anticipare l’elargizione di più cospicui importi nelle more dei rinnovi contrattuali.</w:t>
      </w:r>
    </w:p>
    <w:p w14:paraId="1A56FDEE" w14:textId="77777777" w:rsidR="003B371B" w:rsidRPr="00AF4904" w:rsidRDefault="0054419B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 xml:space="preserve">Giova evidenziare, per ultimo, che la correttezza delle argomentazioni sopra riportate trova riscontro, </w:t>
      </w:r>
      <w:r w:rsidRPr="00AF4904">
        <w:rPr>
          <w:rFonts w:ascii="Times New Roman" w:hAnsi="Times New Roman" w:cs="Times New Roman"/>
          <w:b/>
          <w:bCs/>
        </w:rPr>
        <w:t>anche</w:t>
      </w:r>
      <w:r w:rsidRPr="00AF4904">
        <w:rPr>
          <w:rFonts w:ascii="Times New Roman" w:hAnsi="Times New Roman" w:cs="Times New Roman"/>
        </w:rPr>
        <w:t xml:space="preserve">, nella circostanza che il personale dipendente da Amministrazioni dello Stato (ad es. il personale della scuola) continua a percepire mensilmente </w:t>
      </w:r>
      <w:r w:rsidRPr="00AF4904">
        <w:rPr>
          <w:rFonts w:ascii="Times New Roman" w:hAnsi="Times New Roman" w:cs="Times New Roman"/>
          <w:i/>
          <w:iCs/>
        </w:rPr>
        <w:t>l’ordinaria</w:t>
      </w:r>
      <w:r w:rsidRPr="00AF4904">
        <w:rPr>
          <w:rFonts w:ascii="Times New Roman" w:hAnsi="Times New Roman" w:cs="Times New Roman"/>
        </w:rPr>
        <w:t xml:space="preserve"> IVC pur avendo percepito (in un’unica soluzione nel mese di dicembre 2023, </w:t>
      </w:r>
      <w:r w:rsidR="003B371B" w:rsidRPr="00AF4904">
        <w:rPr>
          <w:rFonts w:ascii="Times New Roman" w:hAnsi="Times New Roman" w:cs="Times New Roman"/>
        </w:rPr>
        <w:t>“</w:t>
      </w:r>
      <w:r w:rsidR="003B371B" w:rsidRPr="00AF4904">
        <w:rPr>
          <w:rFonts w:ascii="Times New Roman" w:hAnsi="Times New Roman" w:cs="Times New Roman"/>
          <w:b/>
          <w:bCs/>
        </w:rPr>
        <w:t>a valere sul 2024</w:t>
      </w:r>
      <w:r w:rsidR="003B371B" w:rsidRPr="00AF4904">
        <w:rPr>
          <w:rFonts w:ascii="Times New Roman" w:hAnsi="Times New Roman" w:cs="Times New Roman"/>
        </w:rPr>
        <w:t xml:space="preserve">”, </w:t>
      </w:r>
      <w:r w:rsidRPr="00AF4904">
        <w:rPr>
          <w:rFonts w:ascii="Times New Roman" w:hAnsi="Times New Roman" w:cs="Times New Roman"/>
        </w:rPr>
        <w:t>in base all’art. 3, comma 1, del D.L. n. 145/2023, convertito con modificazioni in L. n. 191/2023, come sopra detto) il maggiorato emolumento.</w:t>
      </w:r>
      <w:r w:rsidR="003B371B" w:rsidRPr="00AF4904">
        <w:rPr>
          <w:rFonts w:ascii="Times New Roman" w:hAnsi="Times New Roman" w:cs="Times New Roman"/>
        </w:rPr>
        <w:t xml:space="preserve"> </w:t>
      </w:r>
    </w:p>
    <w:p w14:paraId="0A0C13E7" w14:textId="6110EB52" w:rsidR="0054419B" w:rsidRPr="00AF4904" w:rsidRDefault="003B371B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>Può mai essere legittimo, quindi, che una parte dei lavoratori contrattualizzati continui a percepire l’IVC mentre per altra parte lo stesso beneficio debba essere “sterilizzato” nel maggiore emolumento assicurato a partire dal 1° gennaio 2024???</w:t>
      </w:r>
    </w:p>
    <w:p w14:paraId="3B6D7C0D" w14:textId="2DE00FEA" w:rsidR="003B371B" w:rsidRPr="00AF4904" w:rsidRDefault="003B371B" w:rsidP="0003733A">
      <w:pPr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  <w:b/>
          <w:bCs/>
        </w:rPr>
        <w:t>In ragione di quanto illustrato, quindi, questa O.S. chiede che il Direttore Generale intervenga – con la massima urgenza – al fine di porre rimedio alla palese ingiustizia sopra rappresentata</w:t>
      </w:r>
      <w:r w:rsidRPr="00AF4904">
        <w:rPr>
          <w:rFonts w:ascii="Times New Roman" w:hAnsi="Times New Roman" w:cs="Times New Roman"/>
        </w:rPr>
        <w:t>!</w:t>
      </w:r>
    </w:p>
    <w:p w14:paraId="6B9C39EC" w14:textId="77777777" w:rsidR="00AF4904" w:rsidRPr="00AF4904" w:rsidRDefault="00AF4904" w:rsidP="00AF4904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F4904">
        <w:rPr>
          <w:rFonts w:ascii="Times New Roman" w:hAnsi="Times New Roman" w:cs="Times New Roman"/>
        </w:rPr>
        <w:t xml:space="preserve">Certi di un solerte riscontro, si porgono distinti saluti. </w:t>
      </w:r>
    </w:p>
    <w:p w14:paraId="5BB7D6E2" w14:textId="2272AB69" w:rsidR="00707F5C" w:rsidRPr="00707F5C" w:rsidRDefault="00707F5C" w:rsidP="00707F5C">
      <w:pPr>
        <w:spacing w:after="0"/>
        <w:jc w:val="both"/>
        <w:rPr>
          <w:rFonts w:ascii="Times New Roman" w:hAnsi="Times New Roman" w:cs="Times New Roman"/>
        </w:rPr>
      </w:pPr>
      <w:r w:rsidRPr="00707F5C">
        <w:rPr>
          <w:rFonts w:ascii="Times New Roman" w:hAnsi="Times New Roman" w:cs="Times New Roman"/>
        </w:rPr>
        <w:t>Bari</w:t>
      </w:r>
      <w:r w:rsidR="00E37359">
        <w:rPr>
          <w:rFonts w:ascii="Times New Roman" w:hAnsi="Times New Roman" w:cs="Times New Roman"/>
        </w:rPr>
        <w:t xml:space="preserve"> 30</w:t>
      </w:r>
      <w:r w:rsidRPr="00707F5C">
        <w:rPr>
          <w:rFonts w:ascii="Times New Roman" w:hAnsi="Times New Roman" w:cs="Times New Roman"/>
        </w:rPr>
        <w:t>/01/2024</w:t>
      </w:r>
    </w:p>
    <w:p w14:paraId="51AB2495" w14:textId="30CEEE77" w:rsidR="00707F5C" w:rsidRPr="00707F5C" w:rsidRDefault="00707F5C" w:rsidP="00707F5C">
      <w:pPr>
        <w:spacing w:after="0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707F5C">
        <w:rPr>
          <w:rFonts w:ascii="Times New Roman" w:hAnsi="Times New Roman" w:cs="Times New Roman"/>
        </w:rPr>
        <w:t>SEGRETARIO FGU Dipartimento Università</w:t>
      </w:r>
    </w:p>
    <w:p w14:paraId="2DA74E42" w14:textId="62066C75" w:rsidR="00707F5C" w:rsidRPr="00707F5C" w:rsidRDefault="00707F5C" w:rsidP="00707F5C">
      <w:pPr>
        <w:spacing w:after="0"/>
        <w:ind w:left="2832"/>
        <w:jc w:val="both"/>
        <w:rPr>
          <w:rFonts w:ascii="Times New Roman" w:hAnsi="Times New Roman" w:cs="Times New Roman"/>
        </w:rPr>
      </w:pPr>
      <w:r w:rsidRPr="00707F5C">
        <w:rPr>
          <w:rFonts w:ascii="Times New Roman" w:hAnsi="Times New Roman" w:cs="Times New Roman"/>
        </w:rPr>
        <w:t xml:space="preserve">                        </w:t>
      </w:r>
      <w:r>
        <w:rPr>
          <w:rFonts w:ascii="Times New Roman" w:hAnsi="Times New Roman" w:cs="Times New Roman"/>
        </w:rPr>
        <w:t xml:space="preserve">   </w:t>
      </w:r>
      <w:r w:rsidRPr="00707F5C">
        <w:rPr>
          <w:rFonts w:ascii="Times New Roman" w:hAnsi="Times New Roman" w:cs="Times New Roman"/>
        </w:rPr>
        <w:t>Michele Poliseno</w:t>
      </w:r>
    </w:p>
    <w:p w14:paraId="1D008B23" w14:textId="0672038F" w:rsidR="0054419B" w:rsidRPr="00AF4904" w:rsidRDefault="0054419B" w:rsidP="0003733A">
      <w:pPr>
        <w:jc w:val="both"/>
        <w:rPr>
          <w:rFonts w:ascii="Times New Roman" w:hAnsi="Times New Roman" w:cs="Times New Roman"/>
        </w:rPr>
      </w:pPr>
    </w:p>
    <w:sectPr w:rsidR="0054419B" w:rsidRPr="00AF49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7A"/>
    <w:rsid w:val="0003733A"/>
    <w:rsid w:val="00056FC3"/>
    <w:rsid w:val="000858DB"/>
    <w:rsid w:val="000F42E0"/>
    <w:rsid w:val="003B371B"/>
    <w:rsid w:val="0042763B"/>
    <w:rsid w:val="00445C0A"/>
    <w:rsid w:val="004A137A"/>
    <w:rsid w:val="0054419B"/>
    <w:rsid w:val="005D64FE"/>
    <w:rsid w:val="007006C0"/>
    <w:rsid w:val="00707F5C"/>
    <w:rsid w:val="00AF4904"/>
    <w:rsid w:val="00E37359"/>
    <w:rsid w:val="00EC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F585"/>
  <w15:chartTrackingRefBased/>
  <w15:docId w15:val="{EE3199F6-8641-4EF6-9FFF-01F65A56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1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1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1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1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1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1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1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1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1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1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1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13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13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13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13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13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13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1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1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1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1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13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13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13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1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13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137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07F5C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46DD.0DBE1A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Schiavulli</dc:creator>
  <cp:keywords/>
  <dc:description/>
  <cp:lastModifiedBy>Michele Poliseno</cp:lastModifiedBy>
  <cp:revision>2</cp:revision>
  <dcterms:created xsi:type="dcterms:W3CDTF">2024-01-30T07:38:00Z</dcterms:created>
  <dcterms:modified xsi:type="dcterms:W3CDTF">2024-01-30T07:38:00Z</dcterms:modified>
</cp:coreProperties>
</file>